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ectPr>
          <w:type w:val="nextPage"/>
          <w:pgSz w:h="16838" w:w="11906"/>
          <w:pgMar w:bottom="1134" w:footer="0" w:gutter="0" w:header="0" w:left="1701" w:right="567" w:top="1134"/>
          <w:pgNumType w:fmt="decimal"/>
          <w:formProt w:val="false"/>
          <w:textDirection w:val="lrTb"/>
          <w:docGrid w:charSpace="1842" w:linePitch="260" w:type="default"/>
        </w:sectPr>
      </w:pPr>
    </w:p>
    <w:tbl>
      <w:tblPr>
        <w:jc w:val="left"/>
        <w:tblInd w:type="dxa" w:w="-293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14"/>
        <w:gridCol w:w="295"/>
        <w:gridCol w:w="5341"/>
      </w:tblGrid>
      <w:tr>
        <w:trPr>
          <w:trHeight w:hRule="atLeast" w:val="1668"/>
          <w:cantSplit w:val="false"/>
        </w:trPr>
        <w:tc>
          <w:tcPr>
            <w:tcW w:type="dxa" w:w="441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ЗЫРЯНСКОГО РАЙОНА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Советская ул., д.10, с.Зырянское</w:t>
            </w:r>
          </w:p>
          <w:p>
            <w:pPr>
              <w:pStyle w:val="style32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Томская область, 636850,</w:t>
            </w:r>
          </w:p>
          <w:p>
            <w:pPr>
              <w:pStyle w:val="style32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тел. 8 (38243) 38-147 доп. 208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style16"/>
                <w:rFonts w:ascii="Times New Roman" w:cs="Times New Roman" w:hAnsi="Times New Roman"/>
                <w:b/>
                <w:bCs/>
                <w:sz w:val="20"/>
                <w:szCs w:val="20"/>
              </w:rPr>
              <w:t>ziruprobr@tomsk.gov.ru</w:t>
            </w:r>
          </w:p>
          <w:p>
            <w:pPr>
              <w:pStyle w:val="style32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ОКПО 02117203   ОГРН    1027000570134  </w:t>
            </w:r>
          </w:p>
          <w:p>
            <w:pPr>
              <w:pStyle w:val="style32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ИНН/КПП 7005000663/700501001</w:t>
            </w:r>
          </w:p>
          <w:p>
            <w:pPr>
              <w:pStyle w:val="style18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18"/>
            </w:pPr>
            <w:r>
              <w:rPr>
                <w:rFonts w:ascii="Times New Roman" w:hAnsi="Times New Roman"/>
                <w:sz w:val="26"/>
                <w:szCs w:val="26"/>
                <w:u w:val="none"/>
              </w:rPr>
              <w:t>12.02.2020 №153</w:t>
            </w:r>
          </w:p>
          <w:p>
            <w:pPr>
              <w:pStyle w:val="style18"/>
            </w:pPr>
            <w:r>
              <w:rPr>
                <w:rFonts w:ascii="Times New Roman" w:hAnsi="Times New Roman"/>
                <w:sz w:val="26"/>
                <w:szCs w:val="26"/>
              </w:rPr>
              <w:t>на №  127-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от  07.02.2020                 </w:t>
            </w:r>
          </w:p>
          <w:p>
            <w:pPr>
              <w:pStyle w:val="style18"/>
              <w:spacing w:after="120" w:before="0"/>
              <w:contextualSpacing w:val="false"/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Скорректированный план мероприятий по профилю</w:t>
            </w:r>
          </w:p>
        </w:tc>
        <w:tc>
          <w:tcPr>
            <w:tcW w:type="dxa" w:w="295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spacing w:after="200" w:before="0"/>
              <w:contextualSpacing w:val="false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type="dxa" w:w="5341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18"/>
            </w:pPr>
            <w:r>
              <w:rPr>
                <w:rFonts w:ascii="Times New Roman" w:hAnsi="Times New Roman"/>
                <w:sz w:val="26"/>
                <w:szCs w:val="26"/>
                <w:u w:val="none"/>
              </w:rPr>
              <w:t>ОГБУ ДПО «Томский областной институт повышения квалификации и переподготовки работников образования»</w:t>
            </w:r>
          </w:p>
          <w:p>
            <w:pPr>
              <w:pStyle w:val="style18"/>
            </w:pPr>
            <w:r>
              <w:rPr>
                <w:rFonts w:ascii="Times New Roman" w:hAnsi="Times New Roman"/>
              </w:rPr>
            </w:r>
          </w:p>
          <w:p>
            <w:pPr>
              <w:pStyle w:val="style18"/>
            </w:pPr>
            <w:r>
              <w:rPr>
                <w:rFonts w:ascii="Times New Roman" w:hAnsi="Times New Roman"/>
              </w:rPr>
            </w:r>
          </w:p>
          <w:p>
            <w:pPr>
              <w:pStyle w:val="style18"/>
            </w:pPr>
            <w:r>
              <w:rPr>
                <w:rFonts w:ascii="Times New Roman" w:hAnsi="Times New Roman"/>
              </w:rPr>
            </w:r>
          </w:p>
          <w:p>
            <w:pPr>
              <w:pStyle w:val="style18"/>
            </w:pPr>
            <w:r>
              <w:rPr>
                <w:rFonts w:ascii="Times New Roman" w:hAnsi="Times New Roman"/>
                <w:sz w:val="26"/>
                <w:szCs w:val="26"/>
                <w:u w:val="none"/>
                <w:lang w:val="ru-RU"/>
              </w:rPr>
              <w:t>О.М.Замятиной</w:t>
            </w:r>
          </w:p>
          <w:p>
            <w:pPr>
              <w:pStyle w:val="style18"/>
              <w:spacing w:after="140" w:before="0"/>
              <w:contextualSpacing w:val="false"/>
            </w:pPr>
            <w:r>
              <w:rPr>
                <w:rFonts w:ascii="Times New Roman" w:cs="Times New Roman" w:hAnsi="Times New Roman"/>
                <w:i w:val="false"/>
                <w:sz w:val="26"/>
                <w:szCs w:val="26"/>
              </w:rPr>
            </w:r>
          </w:p>
        </w:tc>
      </w:tr>
    </w:tbl>
    <w:p>
      <w:pPr>
        <w:pStyle w:val="style0"/>
        <w:spacing w:after="0" w:before="0" w:line="100" w:lineRule="atLeast"/>
        <w:contextualSpacing/>
      </w:pPr>
      <w:r>
        <w:rPr/>
      </w:r>
    </w:p>
    <w:p>
      <w:pPr>
        <w:pStyle w:val="style0"/>
        <w:spacing w:after="0" w:before="0" w:line="100" w:lineRule="atLeast"/>
        <w:contextualSpacing/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>Уважаемая Оксана Михайловна!</w:t>
      </w:r>
    </w:p>
    <w:p>
      <w:pPr>
        <w:pStyle w:val="style0"/>
        <w:spacing w:after="0" w:before="0" w:line="100" w:lineRule="atLeast"/>
        <w:contextualSpacing/>
      </w:pPr>
      <w:r>
        <w:rPr>
          <w:sz w:val="26"/>
          <w:szCs w:val="26"/>
        </w:rPr>
      </w:r>
    </w:p>
    <w:p>
      <w:pPr>
        <w:pStyle w:val="style0"/>
        <w:spacing w:after="0" w:before="0" w:line="100" w:lineRule="atLeast"/>
        <w:contextualSpacing/>
      </w:pPr>
      <w:r>
        <w:rPr>
          <w:rFonts w:ascii="Times New Roman" w:hAnsi="Times New Roman"/>
          <w:sz w:val="26"/>
          <w:szCs w:val="26"/>
          <w:lang w:val="ru-RU"/>
        </w:rPr>
        <w:tab/>
        <w:t>Направляем скорректированный план мероприятий по реализации Концепции профильного обучения на 2019-2025 годы в Зырянском муниципалитете. согласно приложению.</w:t>
      </w:r>
    </w:p>
    <w:p>
      <w:pPr>
        <w:pStyle w:val="style0"/>
        <w:spacing w:after="0" w:before="0" w:line="100" w:lineRule="atLeast"/>
        <w:contextualSpacing/>
      </w:pPr>
      <w:r>
        <w:rPr>
          <w:sz w:val="26"/>
          <w:szCs w:val="26"/>
        </w:rPr>
      </w:r>
    </w:p>
    <w:p>
      <w:pPr>
        <w:pStyle w:val="style0"/>
        <w:spacing w:after="0" w:before="0" w:line="100" w:lineRule="atLeast"/>
        <w:contextualSpacing/>
      </w:pPr>
      <w:r>
        <w:rPr>
          <w:rFonts w:ascii="Times New Roman" w:hAnsi="Times New Roman"/>
          <w:sz w:val="26"/>
          <w:szCs w:val="26"/>
          <w:lang w:val="ru-RU"/>
        </w:rPr>
        <w:t>Заместитель Главы Зырянского района</w:t>
      </w:r>
    </w:p>
    <w:p>
      <w:pPr>
        <w:pStyle w:val="style0"/>
        <w:spacing w:after="0" w:before="0" w:line="100" w:lineRule="atLeast"/>
        <w:contextualSpacing/>
      </w:pPr>
      <w:r>
        <w:rPr>
          <w:rFonts w:ascii="Times New Roman" w:hAnsi="Times New Roman"/>
          <w:sz w:val="26"/>
          <w:szCs w:val="26"/>
          <w:lang w:val="ru-RU"/>
        </w:rPr>
        <w:t>по социальной политике-руководитель</w:t>
      </w:r>
    </w:p>
    <w:p>
      <w:pPr>
        <w:pStyle w:val="style0"/>
        <w:spacing w:after="0" w:before="0" w:line="100" w:lineRule="atLeast"/>
        <w:contextualSpacing/>
      </w:pPr>
      <w:r>
        <w:rPr>
          <w:rFonts w:ascii="Times New Roman" w:hAnsi="Times New Roman"/>
          <w:sz w:val="26"/>
          <w:szCs w:val="26"/>
          <w:lang w:val="ru-RU"/>
        </w:rPr>
        <w:t>Управления образования                                                                     Н.В.Вожова</w:t>
      </w:r>
    </w:p>
    <w:p>
      <w:pPr>
        <w:pStyle w:val="style0"/>
        <w:spacing w:after="0" w:before="0" w:line="100" w:lineRule="atLeast"/>
        <w:contextualSpacing/>
      </w:pPr>
      <w:r>
        <w:rPr>
          <w:sz w:val="26"/>
          <w:szCs w:val="26"/>
        </w:rPr>
      </w:r>
    </w:p>
    <w:p>
      <w:pPr>
        <w:pStyle w:val="style0"/>
        <w:spacing w:after="0" w:before="0" w:line="100" w:lineRule="atLeast"/>
        <w:contextualSpacing/>
      </w:pPr>
      <w:r>
        <w:rPr>
          <w:sz w:val="26"/>
          <w:szCs w:val="26"/>
        </w:rPr>
      </w:r>
    </w:p>
    <w:p>
      <w:pPr>
        <w:pStyle w:val="style0"/>
        <w:tabs>
          <w:tab w:leader="none" w:pos="11000" w:val="left"/>
        </w:tabs>
        <w:ind w:hanging="0" w:left="-180" w:right="0"/>
      </w:pPr>
      <w:r>
        <w:rPr>
          <w:rFonts w:ascii="Times New Roman CYR" w:cs="Times New Roman CYR" w:hAnsi="Times New Roman CYR"/>
          <w:sz w:val="26"/>
          <w:szCs w:val="26"/>
        </w:rPr>
        <w:t xml:space="preserve"> </w:t>
      </w:r>
    </w:p>
    <w:p>
      <w:pPr>
        <w:pStyle w:val="style0"/>
        <w:tabs>
          <w:tab w:leader="none" w:pos="11000" w:val="left"/>
        </w:tabs>
        <w:ind w:hanging="0" w:left="-180" w:right="0"/>
        <w:jc w:val="both"/>
      </w:pPr>
      <w:r>
        <w:rPr>
          <w:rFonts w:cs="Calibri"/>
          <w:sz w:val="26"/>
          <w:szCs w:val="26"/>
        </w:rPr>
      </w:r>
    </w:p>
    <w:p>
      <w:pPr>
        <w:pStyle w:val="style0"/>
      </w:pPr>
      <w:r>
        <w:rPr>
          <w:sz w:val="26"/>
          <w:szCs w:val="26"/>
        </w:rPr>
      </w:r>
    </w:p>
    <w:p>
      <w:pPr>
        <w:pStyle w:val="style0"/>
      </w:pPr>
      <w:r>
        <w:rPr>
          <w:sz w:val="26"/>
          <w:szCs w:val="26"/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15" w:left="0" w:right="0"/>
      </w:pPr>
      <w:r>
        <w:rPr>
          <w:rFonts w:ascii="Times New Roman CYR" w:cs="Times New Roman CYR" w:hAnsi="Times New Roman CYR"/>
          <w:sz w:val="22"/>
          <w:szCs w:val="22"/>
        </w:rPr>
        <w:t>Езерская Т.В.</w:t>
      </w:r>
    </w:p>
    <w:p>
      <w:pPr>
        <w:pStyle w:val="style0"/>
        <w:spacing w:after="0" w:before="0" w:line="100" w:lineRule="atLeast"/>
        <w:ind w:firstLine="15" w:left="0" w:right="0"/>
        <w:contextualSpacing/>
      </w:pPr>
      <w:r>
        <w:rPr>
          <w:rFonts w:ascii="Times New Roman" w:hAnsi="Times New Roman"/>
          <w:sz w:val="22"/>
          <w:szCs w:val="22"/>
          <w:lang w:val="ru-RU"/>
        </w:rPr>
        <w:t xml:space="preserve">8(38243) 38147 </w:t>
      </w:r>
      <w:r>
        <w:rPr>
          <w:rFonts w:ascii="Times New Roman CYR" w:cs="Times New Roman CYR" w:hAnsi="Times New Roman CYR"/>
          <w:sz w:val="22"/>
          <w:szCs w:val="22"/>
          <w:lang w:val="ru-RU"/>
        </w:rPr>
        <w:t xml:space="preserve">доб.170 </w:t>
      </w:r>
      <w:r>
        <w:rPr>
          <w:rFonts w:ascii="Times New Roman CYR" w:cs="Times New Roman CYR" w:hAnsi="Times New Roman CYR"/>
          <w:sz w:val="26"/>
          <w:szCs w:val="26"/>
          <w:lang w:val="ru-RU"/>
        </w:rPr>
        <w:t xml:space="preserve">   </w:t>
      </w:r>
    </w:p>
    <w:p>
      <w:pPr>
        <w:pStyle w:val="style0"/>
        <w:spacing w:after="0" w:before="0" w:line="100" w:lineRule="atLeast"/>
        <w:contextualSpacing/>
      </w:pPr>
      <w:r>
        <w:rPr>
          <w:sz w:val="26"/>
          <w:szCs w:val="26"/>
        </w:rPr>
      </w:r>
    </w:p>
    <w:p>
      <w:pPr>
        <w:pStyle w:val="style18"/>
        <w:spacing w:line="100" w:lineRule="atLeast"/>
        <w:jc w:val="right"/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>Приложение1</w:t>
      </w:r>
    </w:p>
    <w:p>
      <w:pPr>
        <w:pStyle w:val="style0"/>
        <w:spacing w:line="100" w:lineRule="atLeast"/>
        <w:jc w:val="center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мероприятий по реализации Концепции развития  профильного обучения в системе общего образования Зырянского района на 2019-2025 годы</w:t>
      </w:r>
    </w:p>
    <w:tbl>
      <w:tblPr>
        <w:jc w:val="left"/>
        <w:tblInd w:type="dxa" w:w="65532"/>
        <w:tblBorders>
          <w:top w:color="00000A" w:space="0" w:sz="4" w:val="single"/>
          <w:left w:color="00000A" w:space="0" w:sz="4" w:val="single"/>
          <w:bottom w:val="none"/>
          <w:insideH w:val="none"/>
          <w:right w:color="00000A" w:space="0" w:sz="4" w:val="single"/>
          <w:insideV w:color="00000A" w:space="0" w:sz="4" w:val="single"/>
        </w:tblBorders>
        <w:tblCellMar>
          <w:top w:type="dxa" w:w="0"/>
          <w:left w:type="dxa" w:w="65527"/>
          <w:bottom w:type="dxa" w:w="0"/>
          <w:right w:type="dxa" w:w="0"/>
        </w:tblCellMar>
      </w:tblPr>
      <w:tblGrid>
        <w:gridCol w:w="514"/>
        <w:gridCol w:w="5607"/>
        <w:gridCol w:w="1632"/>
        <w:gridCol w:w="1891"/>
      </w:tblGrid>
      <w:tr>
        <w:trPr>
          <w:trHeight w:hRule="atLeast" w:val="427"/>
          <w:cantSplit w:val="true"/>
        </w:trPr>
        <w:tc>
          <w:tcPr>
            <w:tcW w:type="dxa" w:w="514"/>
            <w:vMerge w:val="restart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25"/>
              <w:spacing w:line="100" w:lineRule="atLeast"/>
              <w:ind w:hanging="0" w:left="-5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5607"/>
            <w:vMerge w:val="restart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18"/>
              <w:spacing w:after="140" w:before="0" w:line="100" w:lineRule="atLeast"/>
              <w:ind w:hanging="0" w:left="37" w:right="113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ероприятия</w:t>
            </w:r>
          </w:p>
        </w:tc>
        <w:tc>
          <w:tcPr>
            <w:tcW w:type="dxa" w:w="1632"/>
            <w:vMerge w:val="restart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18"/>
              <w:spacing w:after="14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type="dxa" w:w="1891"/>
            <w:vMerge w:val="restart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18"/>
              <w:spacing w:after="140" w:before="0" w:line="100" w:lineRule="atLeast"/>
              <w:ind w:firstLine="16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Исполнитель</w:t>
            </w:r>
          </w:p>
        </w:tc>
      </w:tr>
      <w:tr>
        <w:trPr>
          <w:trHeight w:hRule="atLeast" w:val="477"/>
          <w:cantSplit w:val="true"/>
        </w:trPr>
        <w:tc>
          <w:tcPr>
            <w:tcW w:type="dxa" w:w="514"/>
            <w:vMerge w:val="continue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overflowPunct w:val="true"/>
              <w:spacing w:after="200" w:before="0" w:line="276" w:lineRule="auto"/>
              <w:contextualSpacing w:val="false"/>
              <w:jc w:val="left"/>
            </w:pPr>
            <w:r>
              <w:rPr/>
            </w:r>
          </w:p>
        </w:tc>
        <w:tc>
          <w:tcPr>
            <w:tcW w:type="dxa" w:w="5607"/>
            <w:vMerge w:val="continue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overflowPunct w:val="true"/>
              <w:spacing w:after="200" w:before="0" w:line="276" w:lineRule="auto"/>
              <w:contextualSpacing w:val="false"/>
              <w:jc w:val="left"/>
            </w:pPr>
            <w:r>
              <w:rPr/>
            </w:r>
          </w:p>
        </w:tc>
        <w:tc>
          <w:tcPr>
            <w:tcW w:type="dxa" w:w="1632"/>
            <w:vMerge w:val="continue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overflowPunct w:val="true"/>
              <w:spacing w:after="200" w:before="0" w:line="276" w:lineRule="auto"/>
              <w:contextualSpacing w:val="false"/>
              <w:jc w:val="left"/>
            </w:pPr>
            <w:r>
              <w:rPr/>
            </w:r>
          </w:p>
        </w:tc>
        <w:tc>
          <w:tcPr>
            <w:tcW w:type="dxa" w:w="1891"/>
            <w:vMerge w:val="continue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overflowPunct w:val="true"/>
              <w:spacing w:after="200" w:before="0" w:line="276" w:lineRule="auto"/>
              <w:contextualSpacing w:val="false"/>
              <w:jc w:val="left"/>
            </w:pPr>
            <w:r>
              <w:rPr/>
            </w:r>
          </w:p>
        </w:tc>
      </w:tr>
      <w:tr>
        <w:trPr>
          <w:trHeight w:hRule="atLeast" w:val="489"/>
          <w:cantSplit w:val="true"/>
        </w:trPr>
        <w:tc>
          <w:tcPr>
            <w:tcW w:type="dxa" w:w="9644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6"/>
              <w:spacing w:line="100" w:lineRule="atLeast"/>
              <w:ind w:hanging="0" w:left="0" w:right="-1"/>
              <w:jc w:val="center"/>
            </w:pPr>
            <w:r>
              <w:rPr>
                <w:sz w:val="24"/>
                <w:szCs w:val="24"/>
                <w:lang w:val="ru-RU"/>
              </w:rPr>
              <w:t>1. Организационное и методическое сопровождение реализации Концепции развития профильного обучения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совещаниях по вопросам реализации профильного обучения, проводимых ДОО, ТОИПКРО 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семинаров для школьных координаторов по вопросам реализации профильного обучения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Управления образования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Обучение на курсах повышения квалификации по реализации  предпрофильного и профильного обучения по ФГОС  руководителей и заместителей руководителей образовательных организаций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 2020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выездного семинара по повышению квалификации учителей-предметников образовательных организаций по вопросам предпрофильного и профильного обучения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 2020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муниципальной базовой сетевой площадки по  реализации предпрофильного и профильного обучения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 2020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платформ «Точка роста» для реализации основных и дополнительных программ цифрового, естественно-научного, технического и гуманитарного профилей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hRule="atLeast" w:val="58"/>
          <w:cantSplit w:val="true"/>
        </w:trPr>
        <w:tc>
          <w:tcPr>
            <w:tcW w:type="dxa" w:w="9644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6"/>
              <w:spacing w:line="100" w:lineRule="atLeast"/>
              <w:ind w:hanging="0" w:left="0" w:right="-1"/>
              <w:jc w:val="center"/>
            </w:pPr>
            <w:r>
              <w:rPr>
                <w:sz w:val="24"/>
                <w:szCs w:val="24"/>
                <w:lang w:val="ru-RU"/>
              </w:rPr>
              <w:t>2. Информационное сопровождение реализации Концепции профильного обучения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информации на официальных сайтах в сети «Интернет» о реализации Концепции развития профильного обучения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навигатора профильного обучения в системе общего образования Зырянского района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sz w:val="24"/>
                <w:szCs w:val="24"/>
                <w:lang w:val="ru-RU"/>
              </w:rPr>
              <w:t>До 01.03.2020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ООП ООО и СОО для предпрофильного и профильного обучения 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sz w:val="24"/>
                <w:szCs w:val="24"/>
                <w:lang w:val="ru-RU"/>
              </w:rPr>
              <w:t>До 01.06.2020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проведении Единого дня профессиональной пробы обучающихся 8-9 классов «Твои возможности без границ»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региональном родительском собрании «Региональная карта профессий и изменения, происходящие в профессиональном образовании Томской области»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20" w:right="87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региональных проектах «ПроЕктория», «Билет в будущее»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hRule="atLeast" w:val="450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проекте «Открытый педагогический класс»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160" w:before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hRule="atLeast" w:val="173"/>
          <w:cantSplit w:val="true"/>
        </w:trPr>
        <w:tc>
          <w:tcPr>
            <w:tcW w:type="dxa" w:w="9644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6"/>
              <w:spacing w:line="100" w:lineRule="atLeast"/>
              <w:ind w:firstLine="137" w:left="0" w:right="-1"/>
              <w:jc w:val="center"/>
            </w:pPr>
            <w:r>
              <w:rPr>
                <w:sz w:val="24"/>
                <w:szCs w:val="24"/>
                <w:lang w:val="ru-RU"/>
              </w:rPr>
              <w:t>3. Аналитическое сопровождение реализации Концепции развития профильного обучения</w:t>
            </w:r>
          </w:p>
        </w:tc>
      </w:tr>
      <w:tr>
        <w:trPr>
          <w:trHeight w:hRule="atLeast" w:val="579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по реализации предпрофильного и профильного обучения в общеобразовательных организациях Зырянского района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0" w:right="32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579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142" w:right="141"/>
              <w:contextualSpacing w:val="false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Мониторинг результативности реализации профильных программ (количество обучающихся, получивших высокие баллы на итоговой аттестации по профильным предметам: увеличение количества выпускников , получивших высокие баллы по профильным предметам)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55" w:right="32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579"/>
          <w:cantSplit w:val="true"/>
        </w:trPr>
        <w:tc>
          <w:tcPr>
            <w:tcW w:type="dxa" w:w="5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type="dxa" w:w="5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8"/>
              <w:ind w:hanging="0" w:left="142" w:right="141"/>
              <w:jc w:val="both"/>
            </w:pPr>
            <w:r>
              <w:rPr/>
              <w:t>Участие в компьютерном мониторинге профессиональных предпочтений обучающихся 9- 10 классов</w:t>
            </w:r>
          </w:p>
        </w:tc>
        <w:tc>
          <w:tcPr>
            <w:tcW w:type="dxa" w:w="16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55" w:right="32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579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8"/>
              <w:ind w:hanging="0" w:left="142" w:right="141"/>
              <w:jc w:val="both"/>
            </w:pPr>
            <w:r>
              <w:rPr/>
              <w:t>Проведение мониторинга деятельности базовой сетевой площадки по реализации профильного обучения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55" w:right="32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hRule="atLeast" w:val="579"/>
          <w:cantSplit w:val="true"/>
        </w:trPr>
        <w:tc>
          <w:tcPr>
            <w:tcW w:type="dxa" w:w="51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-5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type="dxa" w:w="560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8"/>
              <w:ind w:hanging="0" w:left="142" w:right="141"/>
              <w:jc w:val="both"/>
            </w:pPr>
            <w:r>
              <w:rPr/>
              <w:t>Распространение лучших школьных практик профильного обучения</w:t>
            </w:r>
          </w:p>
        </w:tc>
        <w:tc>
          <w:tcPr>
            <w:tcW w:type="dxa" w:w="163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27"/>
              <w:spacing w:line="100" w:lineRule="atLeast"/>
              <w:ind w:hanging="0" w:left="120" w:right="87"/>
              <w:jc w:val="center"/>
            </w:pPr>
            <w:r>
              <w:rPr>
                <w:lang w:val="ru-RU"/>
              </w:rPr>
              <w:t>ежегодно</w:t>
            </w:r>
          </w:p>
        </w:tc>
        <w:tc>
          <w:tcPr>
            <w:tcW w:type="dxa" w:w="189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18"/>
              <w:spacing w:after="140" w:before="0" w:line="100" w:lineRule="atLeast"/>
              <w:ind w:hanging="0" w:left="55" w:right="32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</w:tbl>
    <w:p>
      <w:pPr>
        <w:pStyle w:val="style0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lang w:val="ru-RU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sectPr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1842" w:linePitch="2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overflowPunct w:val="true"/>
      <w:spacing w:after="200" w:before="0" w:line="276" w:lineRule="auto"/>
      <w:contextualSpacing w:val="false"/>
      <w:jc w:val="left"/>
    </w:pPr>
    <w:rPr>
      <w:rFonts w:ascii="Calibri" w:cs="Times New Roman" w:eastAsia="Times New Roman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zxx-" w:eastAsia="zxx-" w:val="zxx-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Liberation Sans" w:cs="Mangal" w:eastAsia="Lucida Sans Unicode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40" w:before="0" w:line="288" w:lineRule="auto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Lohit Devanagari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Заглавие"/>
    <w:basedOn w:val="style0"/>
    <w:next w:val="style22"/>
    <w:pPr>
      <w:keepNext/>
      <w:spacing w:after="120" w:before="240"/>
      <w:contextualSpacing w:val="false"/>
      <w:jc w:val="left"/>
    </w:pPr>
    <w:rPr>
      <w:rFonts w:ascii="Liberation Sans" w:cs="Lohit Devanagari" w:eastAsia="Noto Sans CJK SC Regular" w:hAnsi="Liberation Sans"/>
      <w:sz w:val="28"/>
      <w:szCs w:val="28"/>
    </w:rPr>
  </w:style>
  <w:style w:styleId="style23" w:type="paragraph">
    <w:name w:val="caption"/>
    <w:basedOn w:val="style0"/>
    <w:next w:val="style23"/>
    <w:pPr>
      <w:suppressLineNumbers/>
      <w:spacing w:after="120" w:before="120"/>
      <w:contextualSpacing w:val="false"/>
    </w:pPr>
    <w:rPr>
      <w:rFonts w:cs="Lohit Devanagari"/>
      <w:i/>
      <w:iCs/>
      <w:sz w:val="24"/>
      <w:szCs w:val="24"/>
    </w:rPr>
  </w:style>
  <w:style w:styleId="style24" w:type="paragraph">
    <w:name w:val="index heading"/>
    <w:basedOn w:val="style0"/>
    <w:next w:val="style24"/>
    <w:pPr>
      <w:suppressLineNumbers/>
    </w:pPr>
    <w:rPr>
      <w:rFonts w:cs="Lohit Devanagari"/>
    </w:rPr>
  </w:style>
  <w:style w:styleId="style25" w:type="paragraph">
    <w:name w:val="Основной текст (2)"/>
    <w:basedOn w:val="style0"/>
    <w:next w:val="style25"/>
    <w:pPr>
      <w:shd w:fill="FFFFFF" w:val="clear"/>
      <w:spacing w:after="0" w:before="0" w:line="240" w:lineRule="atLeast"/>
      <w:contextualSpacing w:val="false"/>
    </w:pPr>
    <w:rPr>
      <w:rFonts w:ascii="Arial Unicode MS" w:cs="Arial Unicode MS" w:eastAsia="Arial Unicode MS" w:hAnsi="Arial Unicode MS"/>
      <w:sz w:val="23"/>
      <w:szCs w:val="23"/>
    </w:rPr>
  </w:style>
  <w:style w:styleId="style26" w:type="paragraph">
    <w:name w:val="Основной текст (4)"/>
    <w:basedOn w:val="style0"/>
    <w:next w:val="style26"/>
    <w:pPr>
      <w:shd w:fill="FFFFFF" w:val="clear"/>
      <w:spacing w:after="0" w:before="0" w:line="240" w:lineRule="atLeast"/>
      <w:contextualSpacing w:val="false"/>
    </w:pPr>
    <w:rPr>
      <w:rFonts w:ascii="Times New Roman" w:hAnsi="Times New Roman"/>
      <w:b/>
      <w:bCs/>
    </w:rPr>
  </w:style>
  <w:style w:styleId="style27" w:type="paragraph">
    <w:name w:val="Основной текст (10)"/>
    <w:basedOn w:val="style0"/>
    <w:next w:val="style27"/>
    <w:pPr>
      <w:shd w:fill="FFFFFF" w:val="clear"/>
      <w:spacing w:after="0" w:before="0" w:line="240" w:lineRule="atLeast"/>
      <w:contextualSpacing w:val="false"/>
    </w:pPr>
    <w:rPr>
      <w:rFonts w:ascii="Times New Roman" w:hAnsi="Times New Roman"/>
      <w:sz w:val="24"/>
      <w:szCs w:val="24"/>
    </w:rPr>
  </w:style>
  <w:style w:styleId="style28" w:type="paragraph">
    <w:name w:val="ConsPlusNormal"/>
    <w:next w:val="style28"/>
    <w:pPr>
      <w:widowControl w:val="false"/>
      <w:suppressAutoHyphens w:val="true"/>
      <w:overflowPunct w:val="true"/>
      <w:jc w:val="left"/>
    </w:pPr>
    <w:rPr>
      <w:rFonts w:ascii="Times New Roman" w:cs="Times New Roman" w:eastAsia="Times New Roman" w:hAnsi="Times New Roman"/>
      <w:color w:val="00000A"/>
      <w:sz w:val="24"/>
      <w:szCs w:val="20"/>
      <w:lang w:bidi="ar-SA" w:eastAsia="ru-RU" w:val="ru-RU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  <w:style w:styleId="style30" w:type="paragraph">
    <w:name w:val="Содержимое таблицы"/>
    <w:basedOn w:val="style0"/>
    <w:next w:val="style30"/>
    <w:pPr/>
    <w:rPr/>
  </w:style>
  <w:style w:styleId="style31" w:type="paragraph">
    <w:name w:val="Верхний колонтитул"/>
    <w:basedOn w:val="style0"/>
    <w:next w:val="style31"/>
    <w:pPr/>
    <w:rPr/>
  </w:style>
  <w:style w:styleId="style32" w:type="paragraph">
    <w:name w:val="Подзаголовок"/>
    <w:basedOn w:val="style0"/>
    <w:next w:val="style32"/>
    <w:pPr>
      <w:spacing w:after="60" w:before="0"/>
      <w:contextualSpacing w:val="false"/>
      <w:jc w:val="center"/>
    </w:pPr>
    <w:rPr>
      <w:rFonts w:ascii="Arial" w:cs="Ari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2019-05-30T23:11:00.00Z</dcterms:created>
  <dc:creator>admin</dc:creator>
  <dc:language>ru</dc:language>
  <dcterms:modified xsi:type="dcterms:W3CDTF">2020-02-12T15:54:10.00Z</dcterms:modified>
  <cp:revision>3</cp:revision>
</cp:coreProperties>
</file>